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135"/>
        <w:tblW w:w="9507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3209"/>
        <w:gridCol w:w="4048"/>
      </w:tblGrid>
      <w:tr w:rsidR="00FD00E1" w14:paraId="785A7810" w14:textId="77777777" w:rsidTr="001676DF">
        <w:trPr>
          <w:trHeight w:val="1230"/>
        </w:trPr>
        <w:tc>
          <w:tcPr>
            <w:tcW w:w="2698" w:type="dxa"/>
            <w:tcBorders>
              <w:top w:val="nil"/>
              <w:left w:val="nil"/>
              <w:bottom w:val="single" w:sz="4" w:space="0" w:color="2A5A78"/>
              <w:right w:val="nil"/>
            </w:tcBorders>
            <w:shd w:val="clear" w:color="auto" w:fill="auto"/>
            <w:vAlign w:val="center"/>
          </w:tcPr>
          <w:p w14:paraId="2E66D3D4" w14:textId="3C298D82" w:rsidR="00FD00E1" w:rsidRPr="001676DF" w:rsidRDefault="00FD00E1">
            <w:pPr>
              <w:pStyle w:val="Nombredecontacto"/>
              <w:rPr>
                <w:lang w:val="es-CO"/>
              </w:rPr>
            </w:pPr>
            <w:r w:rsidRPr="001676DF">
              <w:rPr>
                <w:lang w:val="es-CO"/>
              </w:rPr>
              <w:t xml:space="preserve">Contacto: </w:t>
            </w:r>
            <w:r w:rsidR="001676DF" w:rsidRPr="001676DF">
              <w:rPr>
                <w:lang w:val="es-CO"/>
              </w:rPr>
              <w:t>Daniela Sánchez</w:t>
            </w:r>
          </w:p>
          <w:p w14:paraId="39D92663" w14:textId="3C25CC96" w:rsidR="00FD00E1" w:rsidRPr="001676DF" w:rsidRDefault="001676DF">
            <w:pPr>
              <w:pStyle w:val="Informacindecontacto"/>
              <w:rPr>
                <w:lang w:val="es-CO"/>
              </w:rPr>
            </w:pPr>
            <w:r w:rsidRPr="001676DF">
              <w:rPr>
                <w:lang w:val="es-CO"/>
              </w:rPr>
              <w:t>Móv</w:t>
            </w:r>
            <w:r>
              <w:rPr>
                <w:lang w:val="es-CO"/>
              </w:rPr>
              <w:t>il: 3505973669</w:t>
            </w:r>
          </w:p>
          <w:p w14:paraId="23DE5ABF" w14:textId="29E788EA" w:rsidR="00FD00E1" w:rsidRDefault="001676DF">
            <w:pPr>
              <w:pStyle w:val="Informacindecontacto"/>
            </w:pPr>
            <w:r>
              <w:rPr>
                <w:lang w:val="es-CO"/>
              </w:rPr>
              <w:t>Bogotá, Colombia.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2A5A78"/>
              <w:right w:val="nil"/>
            </w:tcBorders>
            <w:shd w:val="clear" w:color="auto" w:fill="auto"/>
            <w:vAlign w:val="center"/>
          </w:tcPr>
          <w:p w14:paraId="3F53C4F1" w14:textId="60A5D887" w:rsidR="00FD00E1" w:rsidRDefault="001676DF">
            <w:pPr>
              <w:pStyle w:val="Informacindecontacto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0" w:history="1">
              <w:r w:rsidRPr="006E3CD9">
                <w:rPr>
                  <w:rStyle w:val="Hipervnculo"/>
                  <w:lang w:val="en-US"/>
                </w:rPr>
                <w:t>prensa@feedbackcomunicaciones.com</w:t>
              </w:r>
            </w:hyperlink>
          </w:p>
          <w:p w14:paraId="3B8889C3" w14:textId="2BC5941C" w:rsidR="001676DF" w:rsidRPr="001676DF" w:rsidRDefault="001676DF">
            <w:pPr>
              <w:pStyle w:val="Informacindecontacto"/>
              <w:rPr>
                <w:lang w:val="en-US"/>
              </w:rPr>
            </w:pPr>
            <w:r>
              <w:rPr>
                <w:lang w:val="en-US"/>
              </w:rPr>
              <w:t>www.feedbackcomunicaciones.com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2A5A78"/>
              <w:right w:val="nil"/>
            </w:tcBorders>
            <w:shd w:val="clear" w:color="auto" w:fill="auto"/>
            <w:vAlign w:val="center"/>
          </w:tcPr>
          <w:p w14:paraId="0019C9AC" w14:textId="23AA5A78" w:rsidR="00FD00E1" w:rsidRDefault="001676DF">
            <w:pPr>
              <w:pStyle w:val="Ttulo2"/>
            </w:pPr>
            <w:r>
              <w:rPr>
                <w:noProof/>
                <w:lang w:val="es-MX" w:eastAsia="es-MX" w:bidi="ar-SA"/>
              </w:rPr>
              <w:drawing>
                <wp:inline distT="0" distB="0" distL="0" distR="0" wp14:anchorId="1B8A3D0A" wp14:editId="654BAFF6">
                  <wp:extent cx="1381125" cy="647700"/>
                  <wp:effectExtent l="0" t="0" r="0" b="0"/>
                  <wp:docPr id="64" name="Imagen 64" descr="NYCE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YCE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D00F0" w14:textId="77777777" w:rsidR="00FD00E1" w:rsidRPr="001676DF" w:rsidRDefault="00FD00E1" w:rsidP="001676DF">
      <w:pPr>
        <w:pStyle w:val="Ttulo1"/>
        <w:spacing w:before="0"/>
        <w:rPr>
          <w:sz w:val="24"/>
          <w:szCs w:val="24"/>
          <w:lang w:val="es-ES"/>
        </w:rPr>
      </w:pPr>
      <w:r w:rsidRPr="001676DF">
        <w:rPr>
          <w:sz w:val="24"/>
          <w:szCs w:val="24"/>
          <w:lang w:val="es-ES"/>
        </w:rPr>
        <w:t>Comunicado de prensa</w:t>
      </w:r>
    </w:p>
    <w:p w14:paraId="76D86B98" w14:textId="77777777" w:rsidR="001676DF" w:rsidRPr="001676DF" w:rsidRDefault="001676DF" w:rsidP="001676DF">
      <w:pPr>
        <w:spacing w:before="100" w:beforeAutospacing="1" w:after="100" w:afterAutospacing="1"/>
        <w:rPr>
          <w:color w:val="31849B"/>
          <w:sz w:val="32"/>
          <w:szCs w:val="32"/>
        </w:rPr>
      </w:pPr>
      <w:r w:rsidRPr="001676DF">
        <w:rPr>
          <w:color w:val="31849B"/>
          <w:sz w:val="32"/>
          <w:szCs w:val="32"/>
        </w:rPr>
        <w:t xml:space="preserve">SURGE LA NORMA QUE PODRÍA CERRAR EL VACÍO NORMATIVO DEL USO DE LA </w:t>
      </w:r>
      <w:r w:rsidRPr="001676DF">
        <w:rPr>
          <w:b/>
          <w:bCs/>
          <w:color w:val="31849B"/>
          <w:sz w:val="32"/>
          <w:szCs w:val="32"/>
        </w:rPr>
        <w:t>IA</w:t>
      </w:r>
      <w:r w:rsidRPr="001676DF">
        <w:rPr>
          <w:color w:val="31849B"/>
          <w:sz w:val="32"/>
          <w:szCs w:val="32"/>
        </w:rPr>
        <w:t xml:space="preserve"> EN COLOMBIA</w:t>
      </w:r>
    </w:p>
    <w:p w14:paraId="67A4AAC4" w14:textId="065C2383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Bogotá</w:t>
      </w:r>
      <w:r>
        <w:rPr>
          <w:rFonts w:ascii="Trebuchet MS" w:hAnsi="Trebuchet MS" w:cs="Times New Roman"/>
          <w:b/>
          <w:bCs/>
          <w:lang w:eastAsia="es-CO"/>
        </w:rPr>
        <w:t xml:space="preserve"> </w:t>
      </w:r>
      <w:r w:rsidRPr="001676DF">
        <w:rPr>
          <w:rFonts w:ascii="Trebuchet MS" w:hAnsi="Trebuchet MS" w:cs="Times New Roman"/>
          <w:b/>
          <w:bCs/>
          <w:sz w:val="22"/>
          <w:szCs w:val="22"/>
          <w:lang w:eastAsia="es-CO"/>
        </w:rPr>
        <w:t xml:space="preserve">D.C.,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agosto de 2025.</w:t>
      </w:r>
      <w:r>
        <w:rPr>
          <w:rFonts w:ascii="Trebuchet MS" w:hAnsi="Trebuchet MS" w:cs="Times New Roman"/>
          <w:b/>
          <w:bCs/>
          <w:lang w:eastAsia="es-CO"/>
        </w:rPr>
        <w:t xml:space="preserve"> 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Colombia ha dado pasos importantes hacia la adopción de la inteligencia artificial (IA) como motor de desarrollo social y económico. Desde 2019, el país cuenta con una Política Nacional de IA que reconoce el potencial transformador de esta tecnología en sectores clave como la salud, la educación, la seguridad y los servicios financieros. Sin embargo, esta estrategia, de carácter orientador y no vinculante,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aún no cuenta con mecanismos verificables que aseguren el uso ético, transparente y seguro de la IA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 en las organizaciones públicas y privadas.</w:t>
      </w:r>
    </w:p>
    <w:p w14:paraId="3338077B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En este contexto, surge la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ISO/IEC 42001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, la primera norma internacional certificable para sistemas de gestión de inteligencia artificial, como una respuesta urgente y necesaria para llenar ese vacío normativo. Su implementación permite que las organizaciones alineen sus sistemas de IA con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principios globales de responsabilidad, gobernanza, mitigación de riesgos y rendición de cuentas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.</w:t>
      </w:r>
    </w:p>
    <w:p w14:paraId="0783D134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En una sociedad con altos niveles de desigualdad como la colombiana, el uso inadecuado de tecnologías como la IA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puede reproducir sesgos y perpetuar discriminaciones históricas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, afectando especialmente a poblaciones vulnerables. A esto se suma la baja confianza ciudadana en las instituciones, especialmente cuando se trata del manejo de datos sensibles o decisiones automatizadas sin explicaciones claras.</w:t>
      </w:r>
    </w:p>
    <w:p w14:paraId="66FD715C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ISO/IEC 42001 aborda estos desafíos al exigir:</w:t>
      </w:r>
    </w:p>
    <w:p w14:paraId="23F2BC7A" w14:textId="77777777" w:rsidR="001676DF" w:rsidRPr="00D70670" w:rsidRDefault="001676DF" w:rsidP="001676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Evaluaciones éticas y de impacto de los algoritmos.</w:t>
      </w:r>
    </w:p>
    <w:p w14:paraId="323556EF" w14:textId="77777777" w:rsidR="001676DF" w:rsidRPr="00D70670" w:rsidRDefault="001676DF" w:rsidP="001676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Control de sesgos desde el diseño de los sistemas.</w:t>
      </w:r>
    </w:p>
    <w:p w14:paraId="4354D4A8" w14:textId="77777777" w:rsidR="001676DF" w:rsidRPr="00D70670" w:rsidRDefault="001676DF" w:rsidP="001676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Trazabilidad, documentación y transparencia operativa.</w:t>
      </w:r>
    </w:p>
    <w:p w14:paraId="286F15F6" w14:textId="77777777" w:rsidR="001676DF" w:rsidRPr="00D70670" w:rsidRDefault="001676DF" w:rsidP="001676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Políticas sólidas de protección de datos y ciberseguridad.</w:t>
      </w:r>
    </w:p>
    <w:p w14:paraId="48AA4B8B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De este modo, la norma se convierte en una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herramienta estratégica para reconstruir la confianza pública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 y promover una IA que respete los derechos fundamentales.</w:t>
      </w:r>
    </w:p>
    <w:p w14:paraId="4820F0C8" w14:textId="77777777" w:rsidR="001676DF" w:rsidRPr="00D70670" w:rsidRDefault="001676DF" w:rsidP="001676DF">
      <w:pPr>
        <w:spacing w:before="100" w:beforeAutospacing="1" w:after="100" w:afterAutospacing="1"/>
        <w:jc w:val="both"/>
        <w:outlineLvl w:val="2"/>
        <w:rPr>
          <w:rFonts w:ascii="Trebuchet MS" w:hAnsi="Trebuchet MS" w:cs="Times New Roman"/>
          <w:b/>
          <w:bCs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Competitividad internacional y preparación para regulaciones futuras</w:t>
      </w:r>
    </w:p>
    <w:p w14:paraId="32C207F7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Muchas empresas colombianas ya están implementando soluciones basadas en IA. Sin embargo,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la ausencia de estándares internacionales limita su expansión y reduce su competitividad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, especialmente en entornos globales donde el cumplimiento regulatorio es una condición clave.</w:t>
      </w:r>
    </w:p>
    <w:p w14:paraId="58B86A5E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La ISO/IEC 42001 alinea a las organizaciones con buenas prácticas internacionales, facilitando:</w:t>
      </w:r>
    </w:p>
    <w:p w14:paraId="35D5779C" w14:textId="77777777" w:rsidR="001676DF" w:rsidRPr="00D70670" w:rsidRDefault="001676DF" w:rsidP="001676D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lastRenderedPageBreak/>
        <w:t>La atracción de inversión extranjera.</w:t>
      </w:r>
    </w:p>
    <w:p w14:paraId="595A5EE2" w14:textId="77777777" w:rsidR="001676DF" w:rsidRPr="00D70670" w:rsidRDefault="001676DF" w:rsidP="001676D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El acceso a nuevos mercados.</w:t>
      </w:r>
    </w:p>
    <w:p w14:paraId="7AF6DB51" w14:textId="77777777" w:rsidR="001676DF" w:rsidRPr="00D70670" w:rsidRDefault="001676DF" w:rsidP="001676D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La preparación frente a normativas como el GDPR europeo o la Ley de IA de la Unión Europea.</w:t>
      </w:r>
    </w:p>
    <w:p w14:paraId="6B489CBF" w14:textId="0BE78149" w:rsidR="001676DF" w:rsidRDefault="001676DF" w:rsidP="001676DF">
      <w:pPr>
        <w:spacing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“Colombia ya avanzó en la formulación de políticas públicas para la IA. El paso siguiente es asegurar que esos avances se traduzcan en confianza, sostenibilidad e impacto real. La ISO/IEC 42001 es el estándar que ofrece ese puente entre el compromiso y la acción verificable”, señala</w:t>
      </w:r>
      <w:r w:rsidR="00C062B0">
        <w:rPr>
          <w:rFonts w:ascii="Trebuchet MS" w:hAnsi="Trebuchet MS" w:cs="Times New Roman"/>
          <w:sz w:val="22"/>
          <w:szCs w:val="22"/>
          <w:lang w:eastAsia="es-CO"/>
        </w:rPr>
        <w:t xml:space="preserve"> </w:t>
      </w:r>
      <w:r w:rsidR="002A1618">
        <w:rPr>
          <w:rFonts w:ascii="Trebuchet MS" w:hAnsi="Trebuchet MS" w:cs="Times New Roman"/>
          <w:b/>
          <w:sz w:val="22"/>
          <w:szCs w:val="22"/>
          <w:lang w:eastAsia="es-CO"/>
        </w:rPr>
        <w:t xml:space="preserve">William Vizcaíno, Director general </w:t>
      </w:r>
      <w:bookmarkStart w:id="0" w:name="_GoBack"/>
      <w:bookmarkEnd w:id="0"/>
      <w:r w:rsidR="00C062B0" w:rsidRPr="00C062B0">
        <w:rPr>
          <w:rFonts w:ascii="Trebuchet MS" w:hAnsi="Trebuchet MS" w:cs="Times New Roman"/>
          <w:b/>
          <w:sz w:val="22"/>
          <w:szCs w:val="22"/>
          <w:lang w:eastAsia="es-CO"/>
        </w:rPr>
        <w:t>de NYCE en Colombia</w:t>
      </w:r>
      <w:r w:rsidR="00C062B0">
        <w:rPr>
          <w:rFonts w:ascii="Trebuchet MS" w:hAnsi="Trebuchet MS" w:cs="Times New Roman"/>
          <w:sz w:val="22"/>
          <w:szCs w:val="22"/>
          <w:lang w:eastAsia="es-CO"/>
        </w:rPr>
        <w:t>.</w:t>
      </w:r>
    </w:p>
    <w:p w14:paraId="06026772" w14:textId="793232EF" w:rsidR="00C062B0" w:rsidRPr="00D70670" w:rsidRDefault="00C062B0" w:rsidP="001676DF">
      <w:pPr>
        <w:spacing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>
        <w:rPr>
          <w:rFonts w:ascii="Trebuchet MS" w:hAnsi="Trebuchet MS" w:cs="Times New Roman"/>
          <w:sz w:val="22"/>
          <w:szCs w:val="22"/>
          <w:lang w:eastAsia="es-CO"/>
        </w:rPr>
        <w:t>NYCE es el primer organismo de certificación acreditado y aprobado en América Latina para este estándar de vanguardia en tecnología.</w:t>
      </w:r>
    </w:p>
    <w:p w14:paraId="5BB241FF" w14:textId="77777777" w:rsidR="001676DF" w:rsidRPr="00D70670" w:rsidRDefault="001676DF" w:rsidP="001676DF">
      <w:pPr>
        <w:spacing w:before="100" w:beforeAutospacing="1" w:after="100" w:afterAutospacing="1"/>
        <w:jc w:val="both"/>
        <w:outlineLvl w:val="2"/>
        <w:rPr>
          <w:rFonts w:ascii="Trebuchet MS" w:hAnsi="Trebuchet MS" w:cs="Times New Roman"/>
          <w:b/>
          <w:bCs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Alianza regional para promover una IA ética y confiable</w:t>
      </w:r>
    </w:p>
    <w:p w14:paraId="609AC227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Desde México y Colombia, un equipo de expertos liderado por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NYCE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 —el primer organismo acreditado en América Latina para certificar bajo ISO/IEC 42001—, junto con las firmas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BP Gurús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,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White Box Project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 y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ES Gestión Empresarial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, trabajan en la implementación regional de esta norma. Su objetivo es acompañar a organizaciones en la creación de entornos tecnológicos que generen valor sin comprometer la ética ni la seguridad.</w:t>
      </w:r>
    </w:p>
    <w:p w14:paraId="2C174F4D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Como parte de este esfuerzo, el grupo elaboró el informe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“Perspectivas sobre el estado de la Inteligencia Artificial en Latinoamérica: Oportunidades, Riesgos y el Papel de la ISO/IEC 42001”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, donde se advierten tres riesgos clave que enfrentan actualmente las empresas:</w:t>
      </w:r>
    </w:p>
    <w:p w14:paraId="1549FD7D" w14:textId="77777777" w:rsidR="001676DF" w:rsidRPr="00D70670" w:rsidRDefault="001676DF" w:rsidP="001676D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Sesgos y discriminación algorítmica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.</w:t>
      </w:r>
    </w:p>
    <w:p w14:paraId="528E66F2" w14:textId="77777777" w:rsidR="001676DF" w:rsidRPr="00D70670" w:rsidRDefault="001676DF" w:rsidP="001676D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Vulnerabilidades en la seguridad y privacidad de los datos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.</w:t>
      </w:r>
    </w:p>
    <w:p w14:paraId="3C103725" w14:textId="77777777" w:rsidR="001676DF" w:rsidRPr="00D70670" w:rsidRDefault="001676DF" w:rsidP="001676D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Falta de transparencia y trazabilidad en los modelos de IA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>.</w:t>
      </w:r>
    </w:p>
    <w:p w14:paraId="55204920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>Cada uno de estos riesgos puede ser mitigado mediante el cumplimiento de los lineamientos técnicos y éticos que establece la ISO/IEC 42001.</w:t>
      </w:r>
    </w:p>
    <w:p w14:paraId="52A243CA" w14:textId="77777777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El desarrollo de la inteligencia artificial en Colombia no puede depender únicamente de la buena voluntad o de esfuerzos aislados. Se requiere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una normativa clara, certificable y alineada con estándares internacionales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 que garantice el uso responsable de estas tecnologías. La ISO/IEC 42001 representa hoy la mejor alternativa para avanzar en esa dirección.</w:t>
      </w:r>
    </w:p>
    <w:p w14:paraId="360F7D31" w14:textId="23EF970A" w:rsidR="001676DF" w:rsidRPr="00D70670" w:rsidRDefault="001676DF" w:rsidP="001676DF">
      <w:pPr>
        <w:spacing w:before="100" w:beforeAutospacing="1" w:after="100" w:afterAutospacing="1"/>
        <w:jc w:val="both"/>
        <w:rPr>
          <w:rFonts w:ascii="Trebuchet MS" w:hAnsi="Trebuchet MS" w:cs="Times New Roman"/>
          <w:sz w:val="22"/>
          <w:szCs w:val="22"/>
          <w:lang w:eastAsia="es-CO"/>
        </w:rPr>
      </w:pP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El </w:t>
      </w:r>
      <w:hyperlink r:id="rId12" w:history="1">
        <w:r w:rsidRPr="00D70670">
          <w:rPr>
            <w:rStyle w:val="Hipervnculo"/>
            <w:rFonts w:ascii="Trebuchet MS" w:hAnsi="Trebuchet MS" w:cs="Times New Roman"/>
            <w:sz w:val="22"/>
            <w:szCs w:val="22"/>
            <w:lang w:eastAsia="es-CO"/>
          </w:rPr>
          <w:t>informe completo</w:t>
        </w:r>
      </w:hyperlink>
      <w:r w:rsidRPr="00D70670">
        <w:rPr>
          <w:rFonts w:ascii="Trebuchet MS" w:hAnsi="Trebuchet MS" w:cs="Times New Roman"/>
          <w:sz w:val="28"/>
          <w:szCs w:val="28"/>
          <w:lang w:eastAsia="es-CO"/>
        </w:rPr>
        <w:t xml:space="preserve"> 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estará disponible </w:t>
      </w:r>
      <w:r w:rsidR="00C062B0">
        <w:rPr>
          <w:rFonts w:ascii="Trebuchet MS" w:hAnsi="Trebuchet MS" w:cs="Times New Roman"/>
          <w:sz w:val="22"/>
          <w:szCs w:val="22"/>
          <w:lang w:eastAsia="es-CO"/>
        </w:rPr>
        <w:t>próximamente para consulta pública</w:t>
      </w:r>
      <w:r w:rsidRPr="00D70670">
        <w:rPr>
          <w:rFonts w:ascii="Trebuchet MS" w:hAnsi="Trebuchet MS" w:cs="Times New Roman"/>
          <w:sz w:val="22"/>
          <w:szCs w:val="22"/>
          <w:lang w:eastAsia="es-CO"/>
        </w:rPr>
        <w:t xml:space="preserve">, como parte del compromiso de este equipo de expertos por </w:t>
      </w:r>
      <w:r w:rsidRPr="00D70670">
        <w:rPr>
          <w:rFonts w:ascii="Trebuchet MS" w:hAnsi="Trebuchet MS" w:cs="Times New Roman"/>
          <w:b/>
          <w:bCs/>
          <w:sz w:val="22"/>
          <w:szCs w:val="22"/>
          <w:lang w:eastAsia="es-CO"/>
        </w:rPr>
        <w:t>democratizar el conocimiento técnico y fortalecer la gobernanza de la IA en América Latina.</w:t>
      </w:r>
    </w:p>
    <w:p w14:paraId="2DCC72F0" w14:textId="77777777" w:rsidR="006E5D7E" w:rsidRDefault="001676DF" w:rsidP="006E5D7E">
      <w:pPr>
        <w:jc w:val="both"/>
        <w:rPr>
          <w:rFonts w:ascii="Trebuchet MS" w:hAnsi="Trebuchet MS" w:cs="Times New Roman"/>
          <w:b/>
          <w:bCs/>
          <w:sz w:val="20"/>
          <w:szCs w:val="20"/>
          <w:lang w:eastAsia="es-CO"/>
        </w:rPr>
      </w:pPr>
      <w:r w:rsidRPr="00D70670">
        <w:rPr>
          <w:rFonts w:ascii="Trebuchet MS" w:hAnsi="Trebuchet MS" w:cs="Times New Roman"/>
          <w:b/>
          <w:bCs/>
          <w:sz w:val="20"/>
          <w:szCs w:val="20"/>
          <w:lang w:eastAsia="es-CO"/>
        </w:rPr>
        <w:t>Acerca de NYCE</w:t>
      </w:r>
    </w:p>
    <w:p w14:paraId="48A60DF8" w14:textId="2F14C67E" w:rsidR="00FD00E1" w:rsidRPr="006E5D7E" w:rsidRDefault="001676DF" w:rsidP="006E5D7E">
      <w:pPr>
        <w:jc w:val="both"/>
        <w:rPr>
          <w:rFonts w:ascii="Trebuchet MS" w:hAnsi="Trebuchet MS" w:cs="Times New Roman"/>
          <w:b/>
          <w:bCs/>
          <w:sz w:val="20"/>
          <w:szCs w:val="20"/>
          <w:lang w:eastAsia="es-CO"/>
        </w:rPr>
      </w:pPr>
      <w:r w:rsidRPr="00D70670">
        <w:rPr>
          <w:rFonts w:ascii="Trebuchet MS" w:hAnsi="Trebuchet MS" w:cs="Times New Roman"/>
          <w:sz w:val="20"/>
          <w:szCs w:val="20"/>
          <w:lang w:eastAsia="es-CO"/>
        </w:rPr>
        <w:t xml:space="preserve">Con más de 30 años de trayectoria, </w:t>
      </w:r>
      <w:r w:rsidRPr="00D70670">
        <w:rPr>
          <w:rFonts w:ascii="Trebuchet MS" w:hAnsi="Trebuchet MS" w:cs="Times New Roman"/>
          <w:b/>
          <w:bCs/>
          <w:sz w:val="20"/>
          <w:szCs w:val="20"/>
          <w:lang w:eastAsia="es-CO"/>
        </w:rPr>
        <w:t>NYCE</w:t>
      </w:r>
      <w:r w:rsidRPr="00D70670">
        <w:rPr>
          <w:rFonts w:ascii="Trebuchet MS" w:hAnsi="Trebuchet MS" w:cs="Times New Roman"/>
          <w:sz w:val="20"/>
          <w:szCs w:val="20"/>
          <w:lang w:eastAsia="es-CO"/>
        </w:rPr>
        <w:t xml:space="preserve"> es líder en la certificación de productos y sistemas de gestión. Actualmente, es el </w:t>
      </w:r>
      <w:r w:rsidRPr="00D70670">
        <w:rPr>
          <w:rFonts w:ascii="Trebuchet MS" w:hAnsi="Trebuchet MS" w:cs="Times New Roman"/>
          <w:b/>
          <w:bCs/>
          <w:sz w:val="20"/>
          <w:szCs w:val="20"/>
          <w:lang w:eastAsia="es-CO"/>
        </w:rPr>
        <w:t>primer organismo en América Latina acreditado para otorgar certificaciones bajo la norma ISO/IEC 42001</w:t>
      </w:r>
      <w:r w:rsidRPr="00D70670">
        <w:rPr>
          <w:rFonts w:ascii="Trebuchet MS" w:hAnsi="Trebuchet MS" w:cs="Times New Roman"/>
          <w:sz w:val="20"/>
          <w:szCs w:val="20"/>
          <w:lang w:eastAsia="es-CO"/>
        </w:rPr>
        <w:t>, promoviendo el uso responsable, seguro y ético de tecnologías emergentes como la inteligencia artificial</w:t>
      </w:r>
      <w:r>
        <w:rPr>
          <w:rFonts w:ascii="Trebuchet MS" w:hAnsi="Trebuchet MS" w:cs="Times New Roman"/>
          <w:sz w:val="20"/>
          <w:szCs w:val="20"/>
          <w:lang w:eastAsia="es-CO"/>
        </w:rPr>
        <w:t>.</w:t>
      </w:r>
    </w:p>
    <w:sectPr w:rsidR="00FD00E1" w:rsidRPr="006E5D7E">
      <w:headerReference w:type="even" r:id="rId13"/>
      <w:headerReference w:type="default" r:id="rId14"/>
      <w:footerReference w:type="first" r:id="rId15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B9283" w14:textId="77777777" w:rsidR="004437AC" w:rsidRDefault="004437AC">
      <w:pPr>
        <w:rPr>
          <w:lang w:val="es-ES"/>
        </w:rPr>
      </w:pPr>
      <w:r>
        <w:rPr>
          <w:lang w:val="es-ES"/>
        </w:rPr>
        <w:separator/>
      </w:r>
    </w:p>
    <w:p w14:paraId="37607878" w14:textId="77777777" w:rsidR="004437AC" w:rsidRDefault="004437AC">
      <w:pPr>
        <w:rPr>
          <w:lang w:val="es-ES"/>
        </w:rPr>
      </w:pPr>
    </w:p>
  </w:endnote>
  <w:endnote w:type="continuationSeparator" w:id="0">
    <w:p w14:paraId="409BF728" w14:textId="77777777" w:rsidR="004437AC" w:rsidRDefault="004437AC">
      <w:pPr>
        <w:rPr>
          <w:lang w:val="es-ES"/>
        </w:rPr>
      </w:pPr>
      <w:r>
        <w:rPr>
          <w:lang w:val="es-ES"/>
        </w:rPr>
        <w:continuationSeparator/>
      </w:r>
    </w:p>
    <w:p w14:paraId="3A6593AC" w14:textId="77777777" w:rsidR="004437AC" w:rsidRDefault="004437AC">
      <w:pPr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9F09A" w14:textId="13B07482" w:rsidR="00FD00E1" w:rsidRDefault="00FD00E1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>if</w:instrText>
    </w:r>
    <w:r>
      <w:rPr>
        <w:lang w:val="es-ES"/>
      </w:rPr>
      <w:fldChar w:fldCharType="begin"/>
    </w:r>
    <w:r>
      <w:rPr>
        <w:lang w:val="es-ES"/>
      </w:rPr>
      <w:instrText>numpages</w:instrText>
    </w:r>
    <w:r>
      <w:rPr>
        <w:lang w:val="es-ES"/>
      </w:rPr>
      <w:fldChar w:fldCharType="separate"/>
    </w:r>
    <w:r w:rsidR="002A1618">
      <w:rPr>
        <w:noProof/>
        <w:lang w:val="es-ES"/>
      </w:rPr>
      <w:instrText>2</w:instrText>
    </w:r>
    <w:r>
      <w:rPr>
        <w:lang w:val="es-ES"/>
      </w:rPr>
      <w:fldChar w:fldCharType="end"/>
    </w:r>
    <w:r>
      <w:rPr>
        <w:lang w:val="es-ES"/>
      </w:rPr>
      <w:instrText>&gt;</w:instrText>
    </w:r>
    <w:r>
      <w:rPr>
        <w:lang w:val="es-ES"/>
      </w:rPr>
      <w:fldChar w:fldCharType="begin"/>
    </w:r>
    <w:r>
      <w:rPr>
        <w:lang w:val="es-ES"/>
      </w:rPr>
      <w:instrText>page</w:instrText>
    </w:r>
    <w:r>
      <w:rPr>
        <w:lang w:val="es-ES"/>
      </w:rPr>
      <w:fldChar w:fldCharType="separate"/>
    </w:r>
    <w:r w:rsidR="002A1618">
      <w:rPr>
        <w:noProof/>
        <w:lang w:val="es-ES"/>
      </w:rPr>
      <w:instrText>1</w:instrText>
    </w:r>
    <w:r>
      <w:rPr>
        <w:lang w:val="es-ES"/>
      </w:rPr>
      <w:fldChar w:fldCharType="end"/>
    </w:r>
    <w:r>
      <w:rPr>
        <w:lang w:val="es-ES"/>
      </w:rPr>
      <w:instrText>"more"</w:instrText>
    </w:r>
    <w:r w:rsidR="002A1618">
      <w:rPr>
        <w:lang w:val="es-ES"/>
      </w:rPr>
      <w:fldChar w:fldCharType="separate"/>
    </w:r>
    <w:r w:rsidR="002A1618">
      <w:rPr>
        <w:noProof/>
        <w:lang w:val="es-ES"/>
      </w:rPr>
      <w:t>more</w:t>
    </w:r>
    <w:r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A4CF7" w14:textId="77777777" w:rsidR="004437AC" w:rsidRDefault="004437AC">
      <w:pPr>
        <w:rPr>
          <w:lang w:val="es-ES"/>
        </w:rPr>
      </w:pPr>
      <w:r>
        <w:rPr>
          <w:lang w:val="es-ES"/>
        </w:rPr>
        <w:separator/>
      </w:r>
    </w:p>
    <w:p w14:paraId="52879152" w14:textId="77777777" w:rsidR="004437AC" w:rsidRDefault="004437AC">
      <w:pPr>
        <w:rPr>
          <w:lang w:val="es-ES"/>
        </w:rPr>
      </w:pPr>
    </w:p>
  </w:footnote>
  <w:footnote w:type="continuationSeparator" w:id="0">
    <w:p w14:paraId="4212E9D9" w14:textId="77777777" w:rsidR="004437AC" w:rsidRDefault="004437AC">
      <w:pPr>
        <w:rPr>
          <w:lang w:val="es-ES"/>
        </w:rPr>
      </w:pPr>
      <w:r>
        <w:rPr>
          <w:lang w:val="es-ES"/>
        </w:rPr>
        <w:continuationSeparator/>
      </w:r>
    </w:p>
    <w:p w14:paraId="6AA1FBBA" w14:textId="77777777" w:rsidR="004437AC" w:rsidRDefault="004437AC">
      <w:pPr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FB4BA" w14:textId="77777777" w:rsidR="00FD00E1" w:rsidRDefault="00FD00E1">
    <w:pPr>
      <w:pStyle w:val="Encabezado"/>
      <w:rPr>
        <w:lang w:val="es-ES"/>
      </w:rPr>
    </w:pPr>
  </w:p>
  <w:p w14:paraId="74D4FF36" w14:textId="77777777" w:rsidR="00FD00E1" w:rsidRDefault="00FD00E1">
    <w:pPr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CF55E" w14:textId="77777777" w:rsidR="001676DF" w:rsidRPr="001676DF" w:rsidRDefault="001676DF" w:rsidP="001676DF">
    <w:pPr>
      <w:spacing w:before="100" w:beforeAutospacing="1" w:after="100" w:afterAutospacing="1"/>
      <w:rPr>
        <w:color w:val="31849B"/>
      </w:rPr>
    </w:pPr>
    <w:r w:rsidRPr="001676DF">
      <w:rPr>
        <w:color w:val="31849B"/>
      </w:rPr>
      <w:t xml:space="preserve">SURGE LA NORMA QUE PODRÍA CERRAR EL VACÍO NORMATIVO DEL USO DE LA </w:t>
    </w:r>
    <w:r w:rsidRPr="001676DF">
      <w:rPr>
        <w:b/>
        <w:bCs/>
        <w:color w:val="31849B"/>
      </w:rPr>
      <w:t>IA</w:t>
    </w:r>
    <w:r w:rsidRPr="001676DF">
      <w:rPr>
        <w:color w:val="31849B"/>
      </w:rPr>
      <w:t xml:space="preserve"> EN COLOMBIA</w:t>
    </w:r>
  </w:p>
  <w:p w14:paraId="4D5D7774" w14:textId="4423E45F" w:rsidR="00FD00E1" w:rsidRDefault="00FD00E1">
    <w:pPr>
      <w:pStyle w:val="Encabezado"/>
      <w:rPr>
        <w:lang w:val="es-ES"/>
      </w:rPr>
    </w:pPr>
    <w:r>
      <w:rPr>
        <w:lang w:val="es-ES"/>
      </w:rPr>
      <w:tab/>
      <w:t xml:space="preserve">Página </w:t>
    </w:r>
    <w:r>
      <w:rPr>
        <w:lang w:val="es-ES"/>
      </w:rPr>
      <w:fldChar w:fldCharType="begin"/>
    </w:r>
    <w:r>
      <w:rPr>
        <w:lang w:val="es-ES"/>
      </w:rPr>
      <w:instrText xml:space="preserve"> PAGE \* Arabic \* MERGEFORMAT </w:instrText>
    </w:r>
    <w:r>
      <w:rPr>
        <w:lang w:val="es-ES"/>
      </w:rPr>
      <w:fldChar w:fldCharType="separate"/>
    </w:r>
    <w:r w:rsidR="002A1618">
      <w:rPr>
        <w:noProof/>
        <w:lang w:val="es-ES"/>
      </w:rPr>
      <w:t>2</w:t>
    </w:r>
    <w:r>
      <w:rPr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60F2"/>
    <w:multiLevelType w:val="multilevel"/>
    <w:tmpl w:val="BE5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7306E"/>
    <w:multiLevelType w:val="multilevel"/>
    <w:tmpl w:val="3FE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B6B3D"/>
    <w:multiLevelType w:val="multilevel"/>
    <w:tmpl w:val="AA5E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DF"/>
    <w:rsid w:val="001676DF"/>
    <w:rsid w:val="001F5A8F"/>
    <w:rsid w:val="00250EE4"/>
    <w:rsid w:val="002A1618"/>
    <w:rsid w:val="003A76E4"/>
    <w:rsid w:val="004437AC"/>
    <w:rsid w:val="006E5D7E"/>
    <w:rsid w:val="007F11F3"/>
    <w:rsid w:val="00B16A05"/>
    <w:rsid w:val="00C062B0"/>
    <w:rsid w:val="00CB07D2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ADB3D"/>
  <w15:docId w15:val="{65AF0DF3-840B-4D9B-A346-D8E53FE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 w:cs="Century Gothic"/>
      <w:spacing w:val="-5"/>
      <w:sz w:val="18"/>
      <w:szCs w:val="18"/>
      <w:lang w:eastAsia="en-US" w:bidi="es-ES"/>
    </w:rPr>
  </w:style>
  <w:style w:type="paragraph" w:styleId="Ttulo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tulo2">
    <w:name w:val="heading 2"/>
    <w:basedOn w:val="Ttulo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epgina">
    <w:name w:val="footer"/>
    <w:basedOn w:val="Normal"/>
    <w:pPr>
      <w:tabs>
        <w:tab w:val="right" w:pos="9360"/>
      </w:tabs>
    </w:pPr>
    <w:rPr>
      <w:b/>
      <w:caps/>
      <w:color w:val="2A5A78"/>
    </w:rPr>
  </w:style>
  <w:style w:type="paragraph" w:styleId="Textodeglobo">
    <w:name w:val="Balloon Text"/>
    <w:basedOn w:val="Normal"/>
    <w:semiHidden/>
    <w:rPr>
      <w:sz w:val="16"/>
      <w:szCs w:val="16"/>
    </w:rPr>
  </w:style>
  <w:style w:type="paragraph" w:customStyle="1" w:styleId="Informacindecontacto">
    <w:name w:val="Información de contacto"/>
    <w:basedOn w:val="Normal"/>
    <w:pPr>
      <w:spacing w:line="180" w:lineRule="exact"/>
    </w:pPr>
    <w:rPr>
      <w:color w:val="2A5A78"/>
      <w:sz w:val="16"/>
      <w:szCs w:val="16"/>
      <w:lang w:val="es-ES" w:eastAsia="es-ES"/>
    </w:rPr>
  </w:style>
  <w:style w:type="paragraph" w:customStyle="1" w:styleId="Nombredecontacto">
    <w:name w:val="Nombre de contacto"/>
    <w:basedOn w:val="Informacindecontacto"/>
    <w:rPr>
      <w:b/>
    </w:rPr>
  </w:style>
  <w:style w:type="paragraph" w:customStyle="1" w:styleId="Subttulo1">
    <w:name w:val="Subtítulo1"/>
    <w:basedOn w:val="Normal"/>
    <w:pPr>
      <w:spacing w:after="600"/>
    </w:pPr>
    <w:rPr>
      <w:i/>
      <w:color w:val="2A5A78"/>
      <w:sz w:val="22"/>
      <w:szCs w:val="22"/>
      <w:lang w:val="es-ES" w:eastAsia="es-ES"/>
    </w:rPr>
  </w:style>
  <w:style w:type="character" w:customStyle="1" w:styleId="TextChar">
    <w:name w:val="Text Char"/>
    <w:basedOn w:val="Fuentedeprrafopredeter"/>
    <w:link w:val="Texto"/>
  </w:style>
  <w:style w:type="paragraph" w:customStyle="1" w:styleId="Texto">
    <w:name w:val="Texto"/>
    <w:basedOn w:val="Normal"/>
    <w:link w:val="TextChar"/>
    <w:pPr>
      <w:spacing w:after="220" w:line="336" w:lineRule="auto"/>
    </w:pPr>
    <w:rPr>
      <w:spacing w:val="0"/>
      <w:lang w:val="es-ES" w:eastAsia="es-ES"/>
    </w:rPr>
  </w:style>
  <w:style w:type="character" w:customStyle="1" w:styleId="BoldTextChar">
    <w:name w:val="Bold Text Char"/>
    <w:basedOn w:val="Fuentedeprrafopredeter"/>
    <w:link w:val="Textoennegrita1"/>
  </w:style>
  <w:style w:type="paragraph" w:customStyle="1" w:styleId="Textoennegrita1">
    <w:name w:val="Texto en negrita1"/>
    <w:basedOn w:val="Texto"/>
    <w:link w:val="BoldTextChar"/>
    <w:rPr>
      <w:b/>
    </w:rPr>
  </w:style>
  <w:style w:type="paragraph" w:customStyle="1" w:styleId="Text">
    <w:name w:val="Text"/>
    <w:basedOn w:val="Normal"/>
    <w:link w:val="Carcterdetexto"/>
  </w:style>
  <w:style w:type="character" w:customStyle="1" w:styleId="Carcterdetexto">
    <w:name w:val="Carácter de texto"/>
    <w:link w:val="Text"/>
    <w:locked/>
    <w:rPr>
      <w:rFonts w:ascii="Century Gothic" w:hAnsi="Century Gothic" w:hint="default"/>
      <w:sz w:val="18"/>
      <w:szCs w:val="18"/>
      <w:lang w:val="es-ES" w:eastAsia="es-ES" w:bidi="es-ES"/>
    </w:rPr>
  </w:style>
  <w:style w:type="paragraph" w:customStyle="1" w:styleId="BoldText">
    <w:name w:val="Bold Text"/>
    <w:basedOn w:val="Normal"/>
    <w:link w:val="Carcterdetextoennegrita"/>
  </w:style>
  <w:style w:type="character" w:customStyle="1" w:styleId="Carcterdetextoennegrita">
    <w:name w:val="Carácter de texto en negrita"/>
    <w:link w:val="BoldText"/>
    <w:locked/>
    <w:rPr>
      <w:rFonts w:ascii="Century Gothic" w:hAnsi="Century Gothic" w:hint="default"/>
      <w:b/>
      <w:bCs w:val="0"/>
      <w:sz w:val="18"/>
      <w:szCs w:val="18"/>
      <w:lang w:val="es-ES" w:eastAsia="es-ES" w:bidi="es-ES"/>
    </w:rPr>
  </w:style>
  <w:style w:type="table" w:customStyle="1" w:styleId="Tablanormal1">
    <w:name w:val="Tabla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676DF"/>
    <w:rPr>
      <w:color w:val="0563C1"/>
      <w:u w:val="single"/>
    </w:rPr>
  </w:style>
  <w:style w:type="character" w:styleId="Hipervnculovisitado">
    <w:name w:val="FollowedHyperlink"/>
    <w:basedOn w:val="Fuentedeprrafopredeter"/>
    <w:semiHidden/>
    <w:unhideWhenUsed/>
    <w:rsid w:val="001676D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g1.wsimg.com/blobby/go/d7478695-bc47-4557-b565-e5a69ad28d28/downloads/2ef0c66a-bcce-492b-8ebe-a9c02ee2da5d/Perspectivas%20sobre%20el%20estado%20de%20la%20IA%20en%20latin.pdf?ver=17534948715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ensa@feedbackcomunicacion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\AppData\Roaming\Microsoft\Templates\Comunicado%20de%20prensa%20de%20los%20ingresos%20trimestra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Quarterly earnings press release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654763</Value>
      <Value>654769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OfficeOnline,OfficeOnlineVNext</PublishTargets>
    <AcquiredFrom xmlns="2958f784-0ef9-4616-b22d-512a8cad1f0d">Internal MS</AcquiredFrom>
    <AssetStart xmlns="2958f784-0ef9-4616-b22d-512a8cad1f0d">2012-02-20T20:48:00+00:00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TP102831208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826409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7918C8A-0638-4707-B96E-16656F465EA5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BA2D9F0B-06E2-4B6F-B7B3-AA38CC91C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E93A9-7F22-4D94-B94B-2A1933999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de prensa de los ingresos trimestrales</Template>
  <TotalTime>19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Contacto: Annik Stahl</vt:lpstr>
    </vt:vector>
  </TitlesOfParts>
  <Manager/>
  <Company>Microsoft Corporation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Romero</dc:creator>
  <cp:keywords/>
  <dc:description/>
  <cp:lastModifiedBy>Leopoldo AVALOS BARRERA</cp:lastModifiedBy>
  <cp:revision>4</cp:revision>
  <cp:lastPrinted>2004-01-13T19:03:00Z</cp:lastPrinted>
  <dcterms:created xsi:type="dcterms:W3CDTF">2025-08-06T22:29:00Z</dcterms:created>
  <dcterms:modified xsi:type="dcterms:W3CDTF">2025-08-12T23:14:00Z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14225400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